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5356" w14:textId="082B6EC9" w:rsidR="0003063F" w:rsidRPr="000E4356" w:rsidRDefault="0003063F" w:rsidP="0003063F">
      <w:pPr>
        <w:tabs>
          <w:tab w:val="center" w:pos="4536"/>
          <w:tab w:val="right" w:pos="7938"/>
          <w:tab w:val="right" w:pos="9639"/>
        </w:tabs>
        <w:ind w:right="2"/>
        <w:rPr>
          <w:b/>
          <w:bCs/>
          <w:sz w:val="28"/>
        </w:rPr>
      </w:pPr>
      <w:r w:rsidRPr="000E4356">
        <w:rPr>
          <w:b/>
          <w:bCs/>
          <w:sz w:val="28"/>
        </w:rPr>
        <w:t>3GPP TSG RAN WG1 #116-bis</w:t>
      </w:r>
      <w:r w:rsidRPr="000E4356">
        <w:rPr>
          <w:b/>
          <w:bCs/>
          <w:sz w:val="28"/>
        </w:rPr>
        <w:tab/>
      </w:r>
      <w:r w:rsidRPr="000E4356">
        <w:rPr>
          <w:b/>
          <w:bCs/>
          <w:sz w:val="28"/>
        </w:rPr>
        <w:tab/>
      </w:r>
      <w:r w:rsidRPr="000E4356">
        <w:rPr>
          <w:b/>
          <w:bCs/>
          <w:sz w:val="28"/>
        </w:rPr>
        <w:tab/>
      </w:r>
      <w:r w:rsidRPr="002C074E">
        <w:rPr>
          <w:b/>
          <w:bCs/>
          <w:sz w:val="28"/>
        </w:rPr>
        <w:t>R1-240</w:t>
      </w:r>
      <w:r w:rsidR="002C074E" w:rsidRPr="002C074E">
        <w:rPr>
          <w:b/>
          <w:bCs/>
          <w:sz w:val="28"/>
        </w:rPr>
        <w:t>2900</w:t>
      </w:r>
    </w:p>
    <w:p w14:paraId="79C1C44F" w14:textId="77777777" w:rsidR="0003063F" w:rsidRPr="004D70C5" w:rsidRDefault="0003063F" w:rsidP="0003063F">
      <w:pPr>
        <w:pStyle w:val="3GPPHeader"/>
        <w:rPr>
          <w:rFonts w:eastAsia="MS Mincho"/>
          <w:bCs/>
          <w:sz w:val="28"/>
          <w:lang w:val="en-GB" w:eastAsia="ja-JP"/>
        </w:rPr>
      </w:pPr>
      <w:r w:rsidRPr="000E4356">
        <w:rPr>
          <w:rFonts w:eastAsia="MS Mincho"/>
          <w:bCs/>
          <w:sz w:val="28"/>
          <w:lang w:val="en-GB" w:eastAsia="ja-JP"/>
        </w:rPr>
        <w:t>Changsha, Hunan Province, China, April 15</w:t>
      </w:r>
      <w:r w:rsidRPr="000E4356">
        <w:rPr>
          <w:rFonts w:eastAsia="MS Mincho" w:hint="eastAsia"/>
          <w:bCs/>
          <w:sz w:val="28"/>
          <w:vertAlign w:val="superscript"/>
          <w:lang w:val="en-GB" w:eastAsia="ja-JP"/>
        </w:rPr>
        <w:t>th</w:t>
      </w:r>
      <w:r w:rsidRPr="000E4356">
        <w:rPr>
          <w:rFonts w:eastAsia="MS Mincho"/>
          <w:bCs/>
          <w:sz w:val="28"/>
          <w:lang w:val="en-GB" w:eastAsia="ja-JP"/>
        </w:rPr>
        <w:t xml:space="preserve"> – 19</w:t>
      </w:r>
      <w:r w:rsidRPr="000E4356">
        <w:rPr>
          <w:rFonts w:eastAsia="MS Mincho"/>
          <w:bCs/>
          <w:sz w:val="28"/>
          <w:vertAlign w:val="superscript"/>
          <w:lang w:val="en-GB" w:eastAsia="ja-JP"/>
        </w:rPr>
        <w:t>th</w:t>
      </w:r>
      <w:r w:rsidRPr="000E4356">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t>9</w:t>
      </w:r>
      <w:r w:rsidR="00FA72BF">
        <w:t>.</w:t>
      </w:r>
      <w:r w:rsidR="005C0B47">
        <w:t>8</w:t>
      </w:r>
      <w:r w:rsidR="002D2038">
        <w:t>.</w:t>
      </w:r>
      <w:r w:rsidR="00457D24">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EB331B3" w:rsidR="00531215" w:rsidRPr="00CE30E7" w:rsidRDefault="003D3C45" w:rsidP="00311702">
      <w:pPr>
        <w:pStyle w:val="3GPPHeader"/>
      </w:pPr>
      <w:r w:rsidRPr="00CE30E7">
        <w:t>Title:</w:t>
      </w:r>
      <w:r w:rsidR="00E90E49" w:rsidRPr="00CE30E7">
        <w:tab/>
      </w:r>
      <w:r w:rsidR="005C0B47">
        <w:t xml:space="preserve">On Channel Model </w:t>
      </w:r>
      <w:r w:rsidR="00457D24">
        <w:t>Adaptation/Extension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5A5A2A0B" w:rsidR="00E00129" w:rsidRDefault="00E00129" w:rsidP="008A3282">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4504903E" w14:textId="77777777" w:rsidR="00457D24" w:rsidRPr="00457D24" w:rsidRDefault="00457D24" w:rsidP="00457D24">
            <w:pPr>
              <w:pStyle w:val="ListParagraph"/>
              <w:numPr>
                <w:ilvl w:val="0"/>
                <w:numId w:val="38"/>
              </w:numPr>
              <w:overflowPunct w:val="0"/>
              <w:autoSpaceDE w:val="0"/>
              <w:autoSpaceDN w:val="0"/>
              <w:adjustRightInd w:val="0"/>
              <w:spacing w:before="120" w:after="120"/>
              <w:contextualSpacing/>
              <w:jc w:val="both"/>
              <w:textAlignment w:val="baseline"/>
              <w:rPr>
                <w:rFonts w:ascii="Times New Roman" w:hAnsi="Times New Roman"/>
                <w:sz w:val="24"/>
                <w:szCs w:val="24"/>
                <w:lang w:eastAsia="zh-CN"/>
              </w:rPr>
            </w:pPr>
            <w:r w:rsidRPr="00457D24">
              <w:rPr>
                <w:rFonts w:ascii="Times New Roman" w:hAnsi="Times New Roman"/>
                <w:sz w:val="24"/>
                <w:szCs w:val="24"/>
                <w:lang w:eastAsia="zh-CN"/>
              </w:rPr>
              <w:t xml:space="preserve">Adapt/extend as necessary the channel model of TR38.901 at least for 7-24 GHz, including at least the following aspects for applicable scenarios: </w:t>
            </w:r>
          </w:p>
          <w:p w14:paraId="5B1E7CC1" w14:textId="77777777" w:rsidR="00457D24" w:rsidRPr="00457D24" w:rsidRDefault="00457D24" w:rsidP="00457D24">
            <w:pPr>
              <w:pStyle w:val="ListParagraph"/>
              <w:numPr>
                <w:ilvl w:val="1"/>
                <w:numId w:val="38"/>
              </w:numPr>
              <w:overflowPunct w:val="0"/>
              <w:autoSpaceDE w:val="0"/>
              <w:autoSpaceDN w:val="0"/>
              <w:adjustRightInd w:val="0"/>
              <w:spacing w:before="120" w:after="120"/>
              <w:contextualSpacing/>
              <w:jc w:val="both"/>
              <w:textAlignment w:val="baseline"/>
              <w:rPr>
                <w:rFonts w:ascii="Times New Roman" w:hAnsi="Times New Roman"/>
                <w:sz w:val="24"/>
                <w:szCs w:val="24"/>
                <w:lang w:eastAsia="zh-CN"/>
              </w:rPr>
            </w:pPr>
            <w:r w:rsidRPr="00457D24">
              <w:rPr>
                <w:rFonts w:ascii="Times New Roman" w:hAnsi="Times New Roman"/>
                <w:sz w:val="24"/>
                <w:szCs w:val="24"/>
                <w:lang w:eastAsia="zh-CN"/>
              </w:rPr>
              <w:t>Near-field propagation (with consideration being given to consistency between near-field and far-field)</w:t>
            </w:r>
          </w:p>
          <w:p w14:paraId="5EEC8C29" w14:textId="4AB40209" w:rsidR="008E2616" w:rsidRPr="00457D24" w:rsidRDefault="00457D24" w:rsidP="00457D24">
            <w:pPr>
              <w:pStyle w:val="ListParagraph"/>
              <w:numPr>
                <w:ilvl w:val="1"/>
                <w:numId w:val="38"/>
              </w:numPr>
              <w:overflowPunct w:val="0"/>
              <w:autoSpaceDE w:val="0"/>
              <w:autoSpaceDN w:val="0"/>
              <w:adjustRightInd w:val="0"/>
              <w:spacing w:before="120" w:after="120"/>
              <w:contextualSpacing/>
              <w:jc w:val="both"/>
              <w:textAlignment w:val="baseline"/>
              <w:rPr>
                <w:lang w:eastAsia="zh-CN"/>
              </w:rPr>
            </w:pPr>
            <w:r w:rsidRPr="00457D24">
              <w:rPr>
                <w:rFonts w:ascii="Times New Roman" w:hAnsi="Times New Roman"/>
                <w:sz w:val="24"/>
                <w:szCs w:val="24"/>
                <w:lang w:eastAsia="zh-CN"/>
              </w:rPr>
              <w:t>Spatial non-stationarity</w:t>
            </w:r>
          </w:p>
        </w:tc>
      </w:tr>
    </w:tbl>
    <w:p w14:paraId="7364F9C2" w14:textId="77777777" w:rsidR="00C151AD" w:rsidRDefault="00C151AD" w:rsidP="00CD60DA">
      <w:pPr>
        <w:jc w:val="both"/>
      </w:pPr>
    </w:p>
    <w:p w14:paraId="65E8C13E" w14:textId="557A74D0"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191767C9" w14:textId="569B3AAE" w:rsidR="00C4487A" w:rsidRDefault="00C4487A" w:rsidP="00C4487A">
      <w:pPr>
        <w:jc w:val="both"/>
      </w:pPr>
      <w:r>
        <w:t>According to the</w:t>
      </w:r>
      <w:r w:rsidR="004B697C">
        <w:t xml:space="preserve"> high-level timeline for 6G</w:t>
      </w:r>
      <w:r>
        <w:t xml:space="preserve"> </w:t>
      </w:r>
      <w:r>
        <w:fldChar w:fldCharType="begin"/>
      </w:r>
      <w:r>
        <w:instrText xml:space="preserve"> REF _Ref158277531 \r \h </w:instrText>
      </w:r>
      <w:r>
        <w:fldChar w:fldCharType="separate"/>
      </w:r>
      <w:r>
        <w:t>[2]</w:t>
      </w:r>
      <w:r>
        <w:fldChar w:fldCharType="end"/>
      </w:r>
      <w:r>
        <w:t xml:space="preserve">, the studies for 6G in 3GPP are expected to start from Release 20. </w:t>
      </w:r>
      <w:r w:rsidR="004B697C">
        <w:t xml:space="preserve">One candidate spectrum </w:t>
      </w:r>
      <w:r>
        <w:t>applicable</w:t>
      </w:r>
      <w:r w:rsidR="004B697C">
        <w:t xml:space="preserve"> for 6G</w:t>
      </w:r>
      <w:r>
        <w:t xml:space="preserve"> is 7-24 GHz. In preparation for 6G study, the channel model for 7-24 GHz needs to be examined.</w:t>
      </w:r>
    </w:p>
    <w:p w14:paraId="2C4734A4" w14:textId="77777777" w:rsidR="00C4487A" w:rsidRDefault="00C4487A" w:rsidP="00C4487A">
      <w:pPr>
        <w:jc w:val="both"/>
      </w:pPr>
    </w:p>
    <w:p w14:paraId="251B7F78" w14:textId="77777777" w:rsidR="00C4487A" w:rsidRDefault="00C4487A" w:rsidP="00C4487A">
      <w:pPr>
        <w:jc w:val="both"/>
      </w:pPr>
      <w:r>
        <w:t xml:space="preserve">The channel model is provided in TR38.901 </w:t>
      </w:r>
      <w:r>
        <w:fldChar w:fldCharType="begin"/>
      </w:r>
      <w:r>
        <w:instrText xml:space="preserve"> REF _Ref158277733 \r \h </w:instrText>
      </w:r>
      <w:r>
        <w:fldChar w:fldCharType="separate"/>
      </w:r>
      <w:r>
        <w:t>[3]</w:t>
      </w:r>
      <w:r>
        <w:fldChar w:fldCharType="end"/>
      </w:r>
      <w:r>
        <w:t xml:space="preserve">, which covers frequencies from 0.5 GHz to 100 GHz. However, this channel model was established, mainly based on measurements deployed for sub-6 GHz and above 24 GHz. Hence, the validation of this channel model for 7-24 GHz needs to be verified via measurements. </w:t>
      </w:r>
    </w:p>
    <w:p w14:paraId="387C752E" w14:textId="77777777" w:rsidR="00C4487A" w:rsidRDefault="00C4487A" w:rsidP="00C4487A">
      <w:pPr>
        <w:jc w:val="both"/>
      </w:pPr>
    </w:p>
    <w:p w14:paraId="46B4FF55" w14:textId="23464708" w:rsidR="00C97F36" w:rsidRDefault="00C97F36" w:rsidP="00C4487A">
      <w:pPr>
        <w:jc w:val="both"/>
      </w:pPr>
      <w:r>
        <w:t xml:space="preserve">Also, it is mentioned in SID </w:t>
      </w:r>
      <w:r>
        <w:fldChar w:fldCharType="begin"/>
      </w:r>
      <w:r>
        <w:instrText xml:space="preserve"> REF _Ref146048113 \r \h </w:instrText>
      </w:r>
      <w:r>
        <w:fldChar w:fldCharType="separate"/>
      </w:r>
      <w:r>
        <w:t>[1]</w:t>
      </w:r>
      <w:r>
        <w:fldChar w:fldCharType="end"/>
      </w:r>
      <w:r>
        <w:t xml:space="preserve"> to extend the channel model of TR 38.901 at least for 7-24 GHz for applicable scenarios of near-field propagation and spatial non-stationarity. We shall discuss these two aspects in the following sub-sections. </w:t>
      </w:r>
    </w:p>
    <w:p w14:paraId="145EE776" w14:textId="77777777" w:rsidR="00C4487A" w:rsidRPr="004B697C" w:rsidRDefault="00C4487A" w:rsidP="00C4487A">
      <w:pPr>
        <w:jc w:val="both"/>
      </w:pPr>
    </w:p>
    <w:p w14:paraId="3B2B3911" w14:textId="163904CA" w:rsidR="004B697C" w:rsidRPr="004B697C" w:rsidRDefault="004B697C" w:rsidP="004B697C">
      <w:pPr>
        <w:pStyle w:val="Heading2"/>
      </w:pPr>
      <w:r w:rsidRPr="00457D24">
        <w:t>Near-field propagation</w:t>
      </w:r>
    </w:p>
    <w:p w14:paraId="37FA5B38" w14:textId="77777777" w:rsidR="00C97F36" w:rsidRDefault="00C97F36" w:rsidP="00C97F36">
      <w:pPr>
        <w:jc w:val="both"/>
      </w:pPr>
      <w:r>
        <w:t xml:space="preserve">The existing channel model </w:t>
      </w:r>
      <w:r>
        <w:fldChar w:fldCharType="begin"/>
      </w:r>
      <w:r>
        <w:instrText xml:space="preserve"> REF _Ref158277733 \r \h </w:instrText>
      </w:r>
      <w:r>
        <w:fldChar w:fldCharType="separate"/>
      </w:r>
      <w:r>
        <w:t>[3]</w:t>
      </w:r>
      <w:r>
        <w:fldChar w:fldCharType="end"/>
      </w:r>
      <w:r>
        <w:t xml:space="preserve"> assumes far-field propagation, which implies planar wave and linear phase. It is expected that extremely large antenna arrays (ELAA) will be deployed in 6G system to extend the cell coverage. This antenna aperture is largely increased in ELAA. </w:t>
      </w:r>
    </w:p>
    <w:p w14:paraId="1A8A5414" w14:textId="77777777" w:rsidR="00C97F36" w:rsidRDefault="00C97F36" w:rsidP="00C97F36">
      <w:pPr>
        <w:jc w:val="both"/>
      </w:pPr>
    </w:p>
    <w:p w14:paraId="47C849D9" w14:textId="6AEAD00B" w:rsidR="00C97F36" w:rsidRDefault="00C97F36" w:rsidP="004908AA">
      <w:pPr>
        <w:jc w:val="both"/>
      </w:pPr>
      <w:r>
        <w:lastRenderedPageBreak/>
        <w:t xml:space="preserve">It is known that far-field region and near-field region is separated at Rayleigh distance, given by </w:t>
      </w:r>
      <m:oMath>
        <m:r>
          <w:rPr>
            <w:rFonts w:ascii="Cambria Math" w:hAnsi="Cambria Math"/>
          </w:rPr>
          <m:t>R=</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 xml:space="preserve">, where </w:t>
      </w:r>
      <m:oMath>
        <m:r>
          <w:rPr>
            <w:rFonts w:ascii="Cambria Math" w:hAnsi="Cambria Math"/>
          </w:rPr>
          <m:t>D</m:t>
        </m:r>
      </m:oMath>
      <w:r>
        <w:t xml:space="preserve"> is antenna aperture size and </w:t>
      </w:r>
      <m:oMath>
        <m:r>
          <w:rPr>
            <w:rFonts w:ascii="Cambria Math" w:hAnsi="Cambria Math"/>
          </w:rPr>
          <m:t>λ</m:t>
        </m:r>
      </m:oMath>
      <w:r>
        <w:t xml:space="preserve"> is wavelength. Consider a simple example that the antenna aperture size is 1 meter and carrier frequency is 14 GHz. The Rayleigh distance is 93 meters. This distance is comparable with cell size, and hence, the near-field propagation should not be ignored as in the existing channel model. </w:t>
      </w:r>
    </w:p>
    <w:p w14:paraId="7CDEB6B6" w14:textId="77777777" w:rsidR="00C97F36" w:rsidRDefault="00C97F36" w:rsidP="004908AA">
      <w:pPr>
        <w:jc w:val="both"/>
      </w:pPr>
    </w:p>
    <w:p w14:paraId="4D4DA2A2" w14:textId="313EF2D9" w:rsidR="004908AA" w:rsidRDefault="004908AA" w:rsidP="004908AA">
      <w:pPr>
        <w:jc w:val="both"/>
      </w:pPr>
      <w:r>
        <w:t xml:space="preserve">The existing channel model </w:t>
      </w:r>
      <w:r>
        <w:fldChar w:fldCharType="begin"/>
      </w:r>
      <w:r>
        <w:instrText xml:space="preserve"> REF _Ref158277733 \r \h  \* MERGEFORMAT </w:instrText>
      </w:r>
      <w:r>
        <w:fldChar w:fldCharType="separate"/>
      </w:r>
      <w:r>
        <w:t>[3]</w:t>
      </w:r>
      <w:r>
        <w:fldChar w:fldCharType="end"/>
      </w:r>
      <w:r>
        <w:t xml:space="preserve"> is generated in twelve steps, as illustrated in the following figure. It includes general parameters, including setting scenario, network layout and antenna parameter, determining large scale parameters, determining small scale parameters, and coefficient generation.</w:t>
      </w:r>
    </w:p>
    <w:p w14:paraId="24C7A5AD" w14:textId="4E1A1136" w:rsidR="004B697C" w:rsidRPr="004B697C" w:rsidRDefault="004B697C" w:rsidP="004B697C">
      <w:r>
        <w:t xml:space="preserve"> </w:t>
      </w:r>
    </w:p>
    <w:p w14:paraId="2A8F1FC8" w14:textId="77777777" w:rsidR="004B697C" w:rsidRDefault="0071303E" w:rsidP="004B697C">
      <w:pPr>
        <w:keepNext/>
        <w:jc w:val="center"/>
      </w:pPr>
      <w:r w:rsidRPr="00147F39">
        <w:rPr>
          <w:noProof/>
        </w:rPr>
        <w:object w:dxaOrig="11215" w:dyaOrig="7255" w14:anchorId="00EB0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4pt;height:288.4pt;mso-width-percent:0;mso-height-percent:0;mso-width-percent:0;mso-height-percent:0" o:ole="">
            <v:imagedata r:id="rId8" o:title=""/>
          </v:shape>
          <o:OLEObject Type="Embed" ProgID="Visio.Drawing.11" ShapeID="_x0000_i1025" DrawAspect="Content" ObjectID="_1773663023" r:id="rId9"/>
        </w:object>
      </w:r>
    </w:p>
    <w:p w14:paraId="12A91E9C" w14:textId="5B2AF663" w:rsidR="004B697C" w:rsidRDefault="004B697C" w:rsidP="004B697C">
      <w:pPr>
        <w:pStyle w:val="Caption"/>
        <w:rPr>
          <w:noProof/>
        </w:rPr>
      </w:pPr>
      <w:r>
        <w:t xml:space="preserve">Figure </w:t>
      </w:r>
      <w:fldSimple w:instr=" SEQ Figure \* ARABIC ">
        <w:r>
          <w:rPr>
            <w:noProof/>
          </w:rPr>
          <w:t>1</w:t>
        </w:r>
      </w:fldSimple>
      <w:r>
        <w:t xml:space="preserve">: Channel coefficient generation procedure </w:t>
      </w:r>
      <w:r>
        <w:fldChar w:fldCharType="begin"/>
      </w:r>
      <w:r>
        <w:instrText xml:space="preserve"> REF _Ref156394703 \r \h  \* MERGEFORMAT </w:instrText>
      </w:r>
      <w:r>
        <w:fldChar w:fldCharType="separate"/>
      </w:r>
      <w:r>
        <w:t>[2]</w:t>
      </w:r>
      <w:r>
        <w:fldChar w:fldCharType="end"/>
      </w:r>
    </w:p>
    <w:p w14:paraId="1B83D3F8" w14:textId="253100AE" w:rsidR="004B697C" w:rsidRDefault="00B9200E" w:rsidP="0003353A">
      <w:pPr>
        <w:jc w:val="both"/>
        <w:rPr>
          <w:noProof/>
        </w:rPr>
      </w:pPr>
      <w:r>
        <w:rPr>
          <w:noProof/>
        </w:rPr>
        <w:t>W</w:t>
      </w:r>
      <w:r w:rsidR="004908AA">
        <w:rPr>
          <w:noProof/>
        </w:rPr>
        <w:t xml:space="preserve">e think the near-field propagation has impacts on the small scale parameters generations, while its impact on large scale parameters is negliable and it does not have impact on </w:t>
      </w:r>
      <w:r>
        <w:rPr>
          <w:noProof/>
        </w:rPr>
        <w:t>scenario/network layout/antenna parameters, as well as coefficient generation. Specically, in the step of “Generate delays”, we need to check whether a cluster is within the near-field region of a gNB. This involve</w:t>
      </w:r>
      <w:r w:rsidR="00637863">
        <w:rPr>
          <w:noProof/>
        </w:rPr>
        <w:t>s</w:t>
      </w:r>
      <w:r>
        <w:rPr>
          <w:noProof/>
        </w:rPr>
        <w:t xml:space="preserve"> calculating Rayleigh distance in </w:t>
      </w:r>
      <w:r w:rsidR="00637863">
        <w:rPr>
          <w:noProof/>
        </w:rPr>
        <w:t>a</w:t>
      </w:r>
      <w:r>
        <w:rPr>
          <w:noProof/>
        </w:rPr>
        <w:t xml:space="preserve"> given setting (e.g.,</w:t>
      </w:r>
      <w:r w:rsidR="00637863">
        <w:rPr>
          <w:noProof/>
        </w:rPr>
        <w:t xml:space="preserve"> based on</w:t>
      </w:r>
      <w:r>
        <w:rPr>
          <w:noProof/>
        </w:rPr>
        <w:t xml:space="preserve"> antenna aperture</w:t>
      </w:r>
      <w:r w:rsidR="00637863">
        <w:rPr>
          <w:noProof/>
        </w:rPr>
        <w:t xml:space="preserve"> and</w:t>
      </w:r>
      <w:r>
        <w:rPr>
          <w:noProof/>
        </w:rPr>
        <w:t xml:space="preserve"> carrier frequency), and comparing the distance between base station and a cluster, with Rayleigh distance. </w:t>
      </w:r>
      <w:r w:rsidR="00637863">
        <w:rPr>
          <w:noProof/>
        </w:rPr>
        <w:t xml:space="preserve">Here, the distance between base station and a cluster is upper bounded by the cluster delay generated in Step 5. </w:t>
      </w:r>
    </w:p>
    <w:p w14:paraId="06392CD7" w14:textId="77777777" w:rsidR="004B697C" w:rsidRDefault="004B697C" w:rsidP="0003353A">
      <w:pPr>
        <w:jc w:val="both"/>
        <w:rPr>
          <w:noProof/>
        </w:rPr>
      </w:pPr>
    </w:p>
    <w:p w14:paraId="60B61837" w14:textId="17225F53" w:rsidR="00637863" w:rsidRDefault="00637863" w:rsidP="0003353A">
      <w:pPr>
        <w:jc w:val="both"/>
        <w:rPr>
          <w:noProof/>
        </w:rPr>
      </w:pPr>
      <w:r>
        <w:rPr>
          <w:noProof/>
        </w:rPr>
        <w:t xml:space="preserve">Once a cluster is in near-field region, the angle of arrival (AoA, ZoA) or the angle of departure (AoD, ZoD) of the cluster is not a single value. This is because in spherical wave, different transmit antenna elements to a receiver antenna have different angles. Instead, the angle of arrival (AoA, ZoA) or the angle of departure (AoD, ZoD) of the cluster should be composed of a vector of values. </w:t>
      </w:r>
      <w:r w:rsidR="002348E4">
        <w:rPr>
          <w:noProof/>
        </w:rPr>
        <w:t xml:space="preserve">The difference among the values in the vector may depend on the distance between base station and cluster. In general, the closer between base station and cluseter, the larger the difference among the values in the vector. </w:t>
      </w:r>
    </w:p>
    <w:p w14:paraId="188A0C52" w14:textId="77777777" w:rsidR="002348E4" w:rsidRDefault="002348E4" w:rsidP="0003353A">
      <w:pPr>
        <w:jc w:val="both"/>
        <w:rPr>
          <w:noProof/>
        </w:rPr>
      </w:pPr>
    </w:p>
    <w:p w14:paraId="5478A098" w14:textId="6724E0D1" w:rsidR="002348E4" w:rsidRPr="002348E4" w:rsidRDefault="002348E4" w:rsidP="0003353A">
      <w:pPr>
        <w:jc w:val="both"/>
        <w:rPr>
          <w:noProof/>
        </w:rPr>
      </w:pPr>
      <w:r>
        <w:rPr>
          <w:noProof/>
        </w:rPr>
        <w:t xml:space="preserve">Based on the above discussions, we have the following proposals. </w:t>
      </w:r>
    </w:p>
    <w:p w14:paraId="134E7737" w14:textId="443F81C0" w:rsidR="00637863" w:rsidRDefault="00B51704" w:rsidP="0003353A">
      <w:pPr>
        <w:jc w:val="both"/>
        <w:rPr>
          <w:i/>
          <w:iCs/>
        </w:rPr>
      </w:pPr>
      <w:r w:rsidRPr="00D906A0">
        <w:rPr>
          <w:b/>
          <w:bCs/>
          <w:i/>
          <w:iCs/>
          <w:u w:val="single"/>
        </w:rPr>
        <w:lastRenderedPageBreak/>
        <w:t xml:space="preserve">Proposal </w:t>
      </w:r>
      <w:r w:rsidR="006667EE" w:rsidRPr="00D906A0">
        <w:rPr>
          <w:b/>
          <w:bCs/>
          <w:i/>
          <w:iCs/>
          <w:u w:val="single"/>
        </w:rPr>
        <w:t>1</w:t>
      </w:r>
      <w:r w:rsidRPr="00D906A0">
        <w:rPr>
          <w:b/>
          <w:bCs/>
          <w:i/>
          <w:iCs/>
          <w:u w:val="single"/>
        </w:rPr>
        <w:t>:</w:t>
      </w:r>
      <w:r w:rsidRPr="00D906A0">
        <w:rPr>
          <w:i/>
          <w:iCs/>
        </w:rPr>
        <w:t xml:space="preserve"> </w:t>
      </w:r>
      <w:r w:rsidR="00517ED8">
        <w:rPr>
          <w:i/>
          <w:iCs/>
        </w:rPr>
        <w:t xml:space="preserve">To support the near-field propagation, </w:t>
      </w:r>
      <w:r w:rsidR="006667EE" w:rsidRPr="00D906A0">
        <w:rPr>
          <w:i/>
          <w:iCs/>
        </w:rPr>
        <w:t>RAN1 is to</w:t>
      </w:r>
      <w:r w:rsidR="006667EE">
        <w:rPr>
          <w:i/>
          <w:iCs/>
        </w:rPr>
        <w:t xml:space="preserve"> </w:t>
      </w:r>
      <w:r w:rsidR="00517ED8">
        <w:rPr>
          <w:i/>
          <w:iCs/>
        </w:rPr>
        <w:t xml:space="preserve">keep the existing </w:t>
      </w:r>
      <w:r w:rsidR="004B697C">
        <w:rPr>
          <w:i/>
          <w:iCs/>
        </w:rPr>
        <w:t xml:space="preserve">channel coefficient generation </w:t>
      </w:r>
      <w:r w:rsidR="00517ED8">
        <w:rPr>
          <w:i/>
          <w:iCs/>
        </w:rPr>
        <w:t>procedur</w:t>
      </w:r>
      <w:r w:rsidR="004B697C">
        <w:rPr>
          <w:i/>
          <w:iCs/>
        </w:rPr>
        <w:t>e</w:t>
      </w:r>
      <w:r w:rsidR="002348E4">
        <w:rPr>
          <w:i/>
          <w:iCs/>
        </w:rPr>
        <w:t xml:space="preserve"> as in TR 38.901</w:t>
      </w:r>
      <w:r w:rsidR="004B697C">
        <w:rPr>
          <w:i/>
          <w:iCs/>
        </w:rPr>
        <w:t>, with the modifications on the step of “Generate delays” and the step of “Generate arrival &amp; departure angles”.</w:t>
      </w:r>
    </w:p>
    <w:p w14:paraId="30F40547" w14:textId="77777777" w:rsidR="002348E4" w:rsidRDefault="002348E4" w:rsidP="0003353A">
      <w:pPr>
        <w:jc w:val="both"/>
        <w:rPr>
          <w:i/>
          <w:iCs/>
        </w:rPr>
      </w:pPr>
    </w:p>
    <w:p w14:paraId="50390392" w14:textId="685FF690" w:rsidR="002348E4" w:rsidRDefault="002348E4" w:rsidP="002348E4">
      <w:pPr>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To support the near-field propagation, in the step of “Generate delays”, determine the distance between base station and clusters and then determine whether each cluster is within the Rayleigh distance.</w:t>
      </w:r>
    </w:p>
    <w:p w14:paraId="3DAA7AE2" w14:textId="77777777" w:rsidR="002348E4" w:rsidRDefault="002348E4" w:rsidP="0003353A">
      <w:pPr>
        <w:jc w:val="both"/>
        <w:rPr>
          <w:i/>
          <w:iCs/>
        </w:rPr>
      </w:pPr>
    </w:p>
    <w:p w14:paraId="69616F01" w14:textId="19FEDDAB" w:rsidR="002348E4" w:rsidRDefault="002348E4" w:rsidP="002348E4">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To support the near-field propagation, in the step of “Generate arrival &amp; departure angles”, for a cluster in near-field of base station, generate a vector of angles of arrival and a vector of angles of departure for different antenna elements of base station. </w:t>
      </w:r>
    </w:p>
    <w:p w14:paraId="61C8EC72" w14:textId="77777777" w:rsidR="006B35CA" w:rsidRDefault="006B35CA" w:rsidP="00E20F0D">
      <w:pPr>
        <w:jc w:val="both"/>
      </w:pPr>
    </w:p>
    <w:p w14:paraId="174F58AA" w14:textId="3562740D" w:rsidR="002348E4" w:rsidRDefault="002348E4" w:rsidP="002348E4">
      <w:pPr>
        <w:pStyle w:val="Heading2"/>
      </w:pPr>
      <w:r w:rsidRPr="00457D24">
        <w:t>Spatial non-stationarity</w:t>
      </w:r>
    </w:p>
    <w:p w14:paraId="54972FE0" w14:textId="26CABA1F" w:rsidR="00B40DA5" w:rsidRDefault="00B40DA5" w:rsidP="00B40DA5">
      <w:pPr>
        <w:jc w:val="both"/>
      </w:pPr>
      <w:r>
        <w:t xml:space="preserve">Due to large number of antenna elements and large antenna aperture in ELAA, different antenna elements may have different propagation </w:t>
      </w:r>
      <w:r w:rsidR="00DA7E3C">
        <w:t>characteristics</w:t>
      </w:r>
      <w:r>
        <w:t xml:space="preserve">. This scenario is more likely in the near field region. A typical example is that some antenna elements </w:t>
      </w:r>
      <w:r w:rsidR="00DA7E3C">
        <w:t>o</w:t>
      </w:r>
      <w:r>
        <w:t xml:space="preserve">n an antenna panel have LOS path to an objective (either UE or cluster), while other antenna elements in the same antenna panel have blockage on their paths to the objective. This results in </w:t>
      </w:r>
      <w:r w:rsidR="00DA7E3C">
        <w:t xml:space="preserve">spatial non-stationarity at base station side. This is different from the spatial consistency modelling at UE side. </w:t>
      </w:r>
    </w:p>
    <w:p w14:paraId="22F7ADFD" w14:textId="77777777" w:rsidR="00B40DA5" w:rsidRDefault="00B40DA5" w:rsidP="00B40DA5">
      <w:pPr>
        <w:jc w:val="both"/>
      </w:pPr>
    </w:p>
    <w:p w14:paraId="2C6200AE" w14:textId="39029F72" w:rsidR="002348E4" w:rsidRDefault="00DA7E3C" w:rsidP="00B40DA5">
      <w:pPr>
        <w:jc w:val="both"/>
      </w:pPr>
      <w:r>
        <w:t>To support s</w:t>
      </w:r>
      <w:r w:rsidR="00B40DA5" w:rsidRPr="00457D24">
        <w:t>patial non-stationarity</w:t>
      </w:r>
      <w:r>
        <w:t xml:space="preserve">, we think the existing channel coefficient generation procedure as in TR 38.901 can be used, with the modifications on the step of “generate cluster power”. Specifically, if a cluster is in near-field of base station, the cluster power is reduced to address the potential blockage issue. </w:t>
      </w:r>
    </w:p>
    <w:p w14:paraId="6EEBE494" w14:textId="77777777" w:rsidR="002348E4" w:rsidRDefault="002348E4" w:rsidP="002348E4"/>
    <w:p w14:paraId="60AEB63C" w14:textId="083F7F94" w:rsidR="002348E4" w:rsidRDefault="002348E4" w:rsidP="00B40DA5">
      <w:pPr>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To support spatial non-stationarity</w:t>
      </w:r>
      <w:r w:rsidR="001E5CE6">
        <w:rPr>
          <w:i/>
          <w:iCs/>
        </w:rPr>
        <w:t>,</w:t>
      </w:r>
      <w:r w:rsidR="00B40DA5">
        <w:rPr>
          <w:i/>
          <w:iCs/>
        </w:rPr>
        <w:t xml:space="preserve"> in the step of “generate cluster power”, a cluster in near-field of base station</w:t>
      </w:r>
      <w:r w:rsidR="00DA7E3C">
        <w:rPr>
          <w:i/>
          <w:iCs/>
        </w:rPr>
        <w:t xml:space="preserve"> has reduced </w:t>
      </w:r>
      <w:r w:rsidR="00B40DA5">
        <w:rPr>
          <w:i/>
          <w:iCs/>
        </w:rPr>
        <w:t>cluster power.</w:t>
      </w:r>
    </w:p>
    <w:p w14:paraId="5F94BF5E" w14:textId="77777777" w:rsidR="002348E4" w:rsidRPr="002348E4" w:rsidRDefault="002348E4" w:rsidP="002348E4"/>
    <w:p w14:paraId="2896E657" w14:textId="2DF29AD0" w:rsidR="00854A60" w:rsidRPr="00A6576F" w:rsidRDefault="009C5A97" w:rsidP="00FB330B">
      <w:pPr>
        <w:pStyle w:val="Heading1"/>
      </w:pPr>
      <w:r w:rsidRPr="00A6576F">
        <w:t>Conclusion</w:t>
      </w:r>
    </w:p>
    <w:p w14:paraId="7973EDF6" w14:textId="6E1D59BD" w:rsidR="0064641E" w:rsidRDefault="00A04318" w:rsidP="00BB4346">
      <w:pPr>
        <w:jc w:val="both"/>
      </w:pPr>
      <w:r>
        <w:t xml:space="preserve">In this contribution, </w:t>
      </w:r>
      <w:r w:rsidR="00F2767C">
        <w:t xml:space="preserve">we provided our views </w:t>
      </w:r>
      <w:r w:rsidR="00972C43">
        <w:t xml:space="preserve">on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094F0299" w14:textId="77777777" w:rsidR="00BB14A8" w:rsidRDefault="00BB14A8" w:rsidP="00BB4346">
      <w:pPr>
        <w:jc w:val="both"/>
      </w:pPr>
    </w:p>
    <w:p w14:paraId="1C9E2538" w14:textId="77777777" w:rsidR="002348E4" w:rsidRDefault="002348E4" w:rsidP="002348E4">
      <w:pPr>
        <w:jc w:val="both"/>
        <w:rPr>
          <w:i/>
          <w:iCs/>
        </w:rPr>
      </w:pPr>
      <w:r w:rsidRPr="00D906A0">
        <w:rPr>
          <w:b/>
          <w:bCs/>
          <w:i/>
          <w:iCs/>
          <w:u w:val="single"/>
        </w:rPr>
        <w:t>Proposal 1:</w:t>
      </w:r>
      <w:r w:rsidRPr="00D906A0">
        <w:rPr>
          <w:i/>
          <w:iCs/>
        </w:rPr>
        <w:t xml:space="preserve"> </w:t>
      </w:r>
      <w:r>
        <w:rPr>
          <w:i/>
          <w:iCs/>
        </w:rPr>
        <w:t xml:space="preserve">To support the near-field propagation, </w:t>
      </w:r>
      <w:r w:rsidRPr="00D906A0">
        <w:rPr>
          <w:i/>
          <w:iCs/>
        </w:rPr>
        <w:t>RAN1 is to</w:t>
      </w:r>
      <w:r>
        <w:rPr>
          <w:i/>
          <w:iCs/>
        </w:rPr>
        <w:t xml:space="preserve"> keep the existing channel coefficient generation procedure as in TR 38.901, with the modifications on the step of “Generate delays” and the step of “Generate arrival &amp; departure angles”.</w:t>
      </w:r>
    </w:p>
    <w:p w14:paraId="7A069747" w14:textId="77777777" w:rsidR="002348E4" w:rsidRDefault="002348E4" w:rsidP="002348E4">
      <w:pPr>
        <w:jc w:val="both"/>
        <w:rPr>
          <w:i/>
          <w:iCs/>
        </w:rPr>
      </w:pPr>
    </w:p>
    <w:p w14:paraId="69E67900" w14:textId="77777777" w:rsidR="002348E4" w:rsidRDefault="002348E4" w:rsidP="002348E4">
      <w:pPr>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To support the near-field propagation, in the step of “Generate delays”, determine the distance between base station and clusters and then determine whether each cluster is within the Rayleigh distance.</w:t>
      </w:r>
    </w:p>
    <w:p w14:paraId="49BCD8BB" w14:textId="77777777" w:rsidR="002348E4" w:rsidRDefault="002348E4" w:rsidP="002348E4">
      <w:pPr>
        <w:jc w:val="both"/>
        <w:rPr>
          <w:i/>
          <w:iCs/>
        </w:rPr>
      </w:pPr>
    </w:p>
    <w:p w14:paraId="6CD34EB4" w14:textId="77777777" w:rsidR="002348E4" w:rsidRDefault="002348E4" w:rsidP="002348E4">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To support the near-field propagation, in the step of “Generate arrival &amp; departure angles”, for a cluster in near-field of base station, generate a vector of angles of arrival and a vector of angles of departure for different antenna elements of base station. </w:t>
      </w:r>
    </w:p>
    <w:p w14:paraId="1AD3FFBD" w14:textId="77777777" w:rsidR="004C0F6D" w:rsidRDefault="004C0F6D" w:rsidP="00A9231D">
      <w:pPr>
        <w:jc w:val="both"/>
        <w:rPr>
          <w:i/>
          <w:iCs/>
        </w:rPr>
      </w:pPr>
    </w:p>
    <w:p w14:paraId="174D4964" w14:textId="77777777" w:rsidR="00DA7E3C" w:rsidRDefault="00DA7E3C" w:rsidP="00DA7E3C">
      <w:pPr>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To support spatial non-stationarity, in the step of “generate cluster power”, a cluster in near-field of base station has reduced cluster power.</w:t>
      </w:r>
    </w:p>
    <w:p w14:paraId="7B52D1FA" w14:textId="77777777" w:rsidR="00DA7E3C" w:rsidRPr="00407508" w:rsidRDefault="00DA7E3C" w:rsidP="00A9231D">
      <w:pPr>
        <w:jc w:val="both"/>
        <w:rPr>
          <w:i/>
          <w:iCs/>
        </w:rPr>
      </w:pPr>
    </w:p>
    <w:p w14:paraId="2E75F001" w14:textId="77777777" w:rsidR="007E70BB" w:rsidRPr="00A6576F" w:rsidRDefault="005C63AE" w:rsidP="007E70BB">
      <w:pPr>
        <w:pStyle w:val="Heading1"/>
      </w:pPr>
      <w:r w:rsidRPr="00A6576F">
        <w:lastRenderedPageBreak/>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048113"/>
      <w:bookmarkStart w:id="1" w:name="_Ref49784738"/>
      <w:bookmarkStart w:id="2" w:name="_Ref100217924"/>
      <w:bookmarkStart w:id="3" w:name="_Ref124153647"/>
      <w:bookmarkStart w:id="4" w:name="_Ref109038266"/>
      <w:bookmarkStart w:id="5" w:name="OLE_LINK1"/>
      <w:bookmarkStart w:id="6" w:name="OLE_LINK2"/>
      <w:bookmarkStart w:id="7" w:name="_Ref99716514"/>
      <w:bookmarkStart w:id="8"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0"/>
      <w:r>
        <w:t xml:space="preserve"> </w:t>
      </w:r>
      <w:bookmarkStart w:id="9" w:name="_Ref146637819"/>
    </w:p>
    <w:p w14:paraId="0BB12A62" w14:textId="198B63A9" w:rsidR="00C4487A" w:rsidRDefault="00C4487A" w:rsidP="00457D2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58277531"/>
      <w:bookmarkStart w:id="11" w:name="_Ref156394703"/>
      <w:bookmarkEnd w:id="1"/>
      <w:bookmarkEnd w:id="2"/>
      <w:bookmarkEnd w:id="3"/>
      <w:bookmarkEnd w:id="4"/>
      <w:bookmarkEnd w:id="5"/>
      <w:bookmarkEnd w:id="6"/>
      <w:bookmarkEnd w:id="7"/>
      <w:bookmarkEnd w:id="8"/>
      <w:bookmarkEnd w:id="9"/>
      <w:r>
        <w:t>RP-233985, “High-level considerations for 6G timeline,” Dec. 2023.</w:t>
      </w:r>
      <w:bookmarkEnd w:id="10"/>
      <w:r>
        <w:t xml:space="preserve"> </w:t>
      </w:r>
    </w:p>
    <w:p w14:paraId="12A12E04" w14:textId="4CE51706" w:rsidR="00AD01D4" w:rsidRPr="005C0B47" w:rsidRDefault="002C400D" w:rsidP="00457D2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58277733"/>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1"/>
      <w:bookmarkEnd w:id="12"/>
      <w:r w:rsidR="00BB14A8">
        <w:t xml:space="preserve"> </w:t>
      </w:r>
      <w:r w:rsidR="008A67BD">
        <w:t xml:space="preserve"> </w:t>
      </w:r>
    </w:p>
    <w:sectPr w:rsidR="00AD01D4" w:rsidRPr="005C0B47" w:rsidSect="0071303E">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4B3C" w14:textId="77777777" w:rsidR="0071303E" w:rsidRDefault="0071303E">
      <w:r>
        <w:separator/>
      </w:r>
    </w:p>
  </w:endnote>
  <w:endnote w:type="continuationSeparator" w:id="0">
    <w:p w14:paraId="7D1BEF2D" w14:textId="77777777" w:rsidR="0071303E" w:rsidRDefault="0071303E">
      <w:r>
        <w:continuationSeparator/>
      </w:r>
    </w:p>
  </w:endnote>
  <w:endnote w:type="continuationNotice" w:id="1">
    <w:p w14:paraId="08993A5B" w14:textId="77777777" w:rsidR="0071303E" w:rsidRDefault="00713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20340" w14:textId="77777777" w:rsidR="0071303E" w:rsidRDefault="0071303E">
      <w:r>
        <w:separator/>
      </w:r>
    </w:p>
  </w:footnote>
  <w:footnote w:type="continuationSeparator" w:id="0">
    <w:p w14:paraId="11B32E81" w14:textId="77777777" w:rsidR="0071303E" w:rsidRDefault="0071303E">
      <w:r>
        <w:continuationSeparator/>
      </w:r>
    </w:p>
  </w:footnote>
  <w:footnote w:type="continuationNotice" w:id="1">
    <w:p w14:paraId="3AE40308" w14:textId="77777777" w:rsidR="0071303E" w:rsidRDefault="007130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6"/>
  </w:num>
  <w:num w:numId="3" w16cid:durableId="235363559">
    <w:abstractNumId w:val="20"/>
  </w:num>
  <w:num w:numId="4" w16cid:durableId="989679355">
    <w:abstractNumId w:val="22"/>
  </w:num>
  <w:num w:numId="5" w16cid:durableId="409810781">
    <w:abstractNumId w:val="17"/>
  </w:num>
  <w:num w:numId="6" w16cid:durableId="2081513416">
    <w:abstractNumId w:val="24"/>
  </w:num>
  <w:num w:numId="7" w16cid:durableId="1568495607">
    <w:abstractNumId w:val="32"/>
  </w:num>
  <w:num w:numId="8" w16cid:durableId="1929077284">
    <w:abstractNumId w:val="18"/>
  </w:num>
  <w:num w:numId="9" w16cid:durableId="69206241">
    <w:abstractNumId w:val="27"/>
  </w:num>
  <w:num w:numId="10" w16cid:durableId="1314335830">
    <w:abstractNumId w:val="1"/>
  </w:num>
  <w:num w:numId="11" w16cid:durableId="586155756">
    <w:abstractNumId w:val="23"/>
  </w:num>
  <w:num w:numId="12" w16cid:durableId="1461416379">
    <w:abstractNumId w:val="25"/>
  </w:num>
  <w:num w:numId="13" w16cid:durableId="131097616">
    <w:abstractNumId w:val="10"/>
  </w:num>
  <w:num w:numId="14" w16cid:durableId="1330669507">
    <w:abstractNumId w:val="31"/>
  </w:num>
  <w:num w:numId="15" w16cid:durableId="1544708605">
    <w:abstractNumId w:val="9"/>
  </w:num>
  <w:num w:numId="16" w16cid:durableId="1647202359">
    <w:abstractNumId w:val="21"/>
  </w:num>
  <w:num w:numId="17" w16cid:durableId="366611127">
    <w:abstractNumId w:val="0"/>
  </w:num>
  <w:num w:numId="18" w16cid:durableId="1176379521">
    <w:abstractNumId w:val="42"/>
  </w:num>
  <w:num w:numId="19" w16cid:durableId="494035189">
    <w:abstractNumId w:val="14"/>
  </w:num>
  <w:num w:numId="20" w16cid:durableId="1886402229">
    <w:abstractNumId w:val="41"/>
  </w:num>
  <w:num w:numId="21" w16cid:durableId="2128230243">
    <w:abstractNumId w:val="39"/>
  </w:num>
  <w:num w:numId="22" w16cid:durableId="31351445">
    <w:abstractNumId w:val="33"/>
  </w:num>
  <w:num w:numId="23" w16cid:durableId="1081098852">
    <w:abstractNumId w:val="4"/>
  </w:num>
  <w:num w:numId="24" w16cid:durableId="585111641">
    <w:abstractNumId w:val="8"/>
  </w:num>
  <w:num w:numId="25" w16cid:durableId="1769615368">
    <w:abstractNumId w:val="34"/>
  </w:num>
  <w:num w:numId="26" w16cid:durableId="1914119897">
    <w:abstractNumId w:val="15"/>
  </w:num>
  <w:num w:numId="27" w16cid:durableId="320233550">
    <w:abstractNumId w:val="12"/>
  </w:num>
  <w:num w:numId="28" w16cid:durableId="1797259966">
    <w:abstractNumId w:val="3"/>
  </w:num>
  <w:num w:numId="29" w16cid:durableId="1824543099">
    <w:abstractNumId w:val="30"/>
  </w:num>
  <w:num w:numId="30" w16cid:durableId="810824541">
    <w:abstractNumId w:val="7"/>
  </w:num>
  <w:num w:numId="31" w16cid:durableId="612783970">
    <w:abstractNumId w:val="43"/>
  </w:num>
  <w:num w:numId="32" w16cid:durableId="922572308">
    <w:abstractNumId w:val="38"/>
  </w:num>
  <w:num w:numId="33" w16cid:durableId="489830261">
    <w:abstractNumId w:val="19"/>
  </w:num>
  <w:num w:numId="34" w16cid:durableId="1596014999">
    <w:abstractNumId w:val="2"/>
  </w:num>
  <w:num w:numId="35" w16cid:durableId="654266786">
    <w:abstractNumId w:val="37"/>
  </w:num>
  <w:num w:numId="36" w16cid:durableId="1456556740">
    <w:abstractNumId w:val="36"/>
  </w:num>
  <w:num w:numId="37" w16cid:durableId="1670711974">
    <w:abstractNumId w:val="40"/>
  </w:num>
  <w:num w:numId="38" w16cid:durableId="1633756099">
    <w:abstractNumId w:val="16"/>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28"/>
  </w:num>
  <w:num w:numId="43" w16cid:durableId="2051612355">
    <w:abstractNumId w:val="29"/>
  </w:num>
  <w:num w:numId="44" w16cid:durableId="2021538486">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2FC"/>
    <w:rsid w:val="0019341A"/>
    <w:rsid w:val="00193704"/>
    <w:rsid w:val="00194456"/>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CE6"/>
    <w:rsid w:val="001E6091"/>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B47"/>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2024-04-03T21:58:00Z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